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40" w:line="240" w:lineRule="auto"/>
        <w:ind w:left="0" w:right="0" w:firstLine="0"/>
        <w:jc w:val="center"/>
        <w:rPr>
          <w:rFonts w:ascii="Helvetica" w:hAnsi="Helvetica"/>
          <w:outline w:val="0"/>
          <w:color w:val="e22400"/>
          <w:sz w:val="36"/>
          <w:szCs w:val="36"/>
          <w:shd w:val="clear" w:color="auto" w:fill="feffff"/>
          <w:rtl w:val="0"/>
          <w14:textFill>
            <w14:solidFill>
              <w14:srgbClr w14:val="E22400"/>
            </w14:solidFill>
          </w14:textFill>
        </w:rPr>
      </w:pPr>
    </w:p>
    <w:p>
      <w:pPr>
        <w:pStyle w:val="Default"/>
        <w:bidi w:val="0"/>
        <w:spacing w:before="0" w:after="340" w:line="240" w:lineRule="auto"/>
        <w:ind w:left="0" w:right="0" w:firstLine="0"/>
        <w:jc w:val="center"/>
        <w:rPr>
          <w:rFonts w:ascii="Helvetica" w:cs="Helvetica" w:hAnsi="Helvetica" w:eastAsia="Helvetica"/>
          <w:outline w:val="0"/>
          <w:color w:val="e22400"/>
          <w:sz w:val="36"/>
          <w:szCs w:val="36"/>
          <w:shd w:val="clear" w:color="auto" w:fill="feffff"/>
          <w:rtl w:val="0"/>
          <w14:textFill>
            <w14:solidFill>
              <w14:srgbClr w14:val="E22400"/>
            </w14:solidFill>
          </w14:textFill>
        </w:rPr>
      </w:pPr>
      <w:r>
        <w:rPr>
          <w:rFonts w:ascii="Helvetica" w:hAnsi="Helvetica"/>
          <w:outline w:val="0"/>
          <w:color w:val="e22400"/>
          <w:sz w:val="36"/>
          <w:szCs w:val="36"/>
          <w:shd w:val="clear" w:color="auto" w:fill="feffff"/>
          <w:rtl w:val="0"/>
          <w:lang w:val="en-US"/>
          <w14:textFill>
            <w14:solidFill>
              <w14:srgbClr w14:val="E22400"/>
            </w14:solidFill>
          </w14:textFill>
        </w:rPr>
        <w:t>Diagnosis indicated by Mini-ACE</w:t>
      </w:r>
      <w:r>
        <w:rPr>
          <w:rFonts w:ascii="Helvetica" w:hAnsi="Helvetica"/>
          <w:outline w:val="0"/>
          <w:color w:val="e22400"/>
          <w:sz w:val="36"/>
          <w:szCs w:val="36"/>
          <w:shd w:val="clear" w:color="auto" w:fill="feffff"/>
          <w:rtl w:val="0"/>
          <w:lang w:val="en-US"/>
          <w14:textFill>
            <w14:solidFill>
              <w14:srgbClr w14:val="E22400"/>
            </w14:solidFill>
          </w14:textFill>
        </w:rPr>
        <w:t xml:space="preserve"> score</w:t>
      </w:r>
    </w:p>
    <w:p>
      <w:pPr>
        <w:pStyle w:val="Default"/>
        <w:bidi w:val="0"/>
        <w:spacing w:before="0" w:after="340" w:line="240" w:lineRule="auto"/>
        <w:ind w:left="0" w:right="0" w:firstLine="0"/>
        <w:jc w:val="left"/>
        <w:rPr>
          <w:rFonts w:ascii="Helvetica" w:cs="Helvetica" w:hAnsi="Helvetica" w:eastAsia="Helvetica"/>
          <w:b w:val="1"/>
          <w:bCs w:val="1"/>
          <w:sz w:val="30"/>
          <w:szCs w:val="30"/>
          <w:shd w:val="clear" w:color="auto" w:fill="feffff"/>
          <w:rtl w:val="0"/>
        </w:rPr>
      </w:pPr>
    </w:p>
    <w:p>
      <w:pPr>
        <w:pStyle w:val="Default"/>
        <w:bidi w:val="0"/>
        <w:spacing w:before="0" w:after="340" w:line="240" w:lineRule="auto"/>
        <w:ind w:left="0" w:right="0" w:firstLine="0"/>
        <w:jc w:val="left"/>
        <w:rPr>
          <w:rFonts w:ascii="Helvetica" w:cs="Helvetica" w:hAnsi="Helvetica" w:eastAsia="Helvetica"/>
          <w:b w:val="1"/>
          <w:bCs w:val="1"/>
          <w:sz w:val="30"/>
          <w:szCs w:val="30"/>
          <w:shd w:val="clear" w:color="auto" w:fill="feffff"/>
          <w:rtl w:val="0"/>
        </w:rPr>
      </w:pPr>
      <w:r>
        <w:rPr>
          <w:rFonts w:ascii="Helvetica" w:hAnsi="Helvetica"/>
          <w:b w:val="1"/>
          <w:bCs w:val="1"/>
          <w:sz w:val="30"/>
          <w:szCs w:val="30"/>
          <w:u w:val="single"/>
          <w:shd w:val="clear" w:color="auto" w:fill="feffff"/>
          <w:rtl w:val="0"/>
          <w:lang w:val="en-US"/>
        </w:rPr>
        <w:t xml:space="preserve">Likely Diagnosis </w:t>
      </w:r>
      <w:r>
        <w:rPr>
          <w:rFonts w:ascii="Helvetica" w:cs="Helvetica" w:hAnsi="Helvetica" w:eastAsia="Helvetica"/>
          <w:b w:val="1"/>
          <w:bCs w:val="1"/>
          <w:sz w:val="30"/>
          <w:szCs w:val="30"/>
          <w:shd w:val="clear" w:color="auto" w:fill="feffff"/>
          <w:rtl w:val="0"/>
        </w:rPr>
        <w:tab/>
        <w:tab/>
        <w:tab/>
        <w:tab/>
      </w:r>
      <w:r>
        <w:rPr>
          <w:rFonts w:ascii="Helvetica" w:hAnsi="Helvetica"/>
          <w:b w:val="1"/>
          <w:bCs w:val="1"/>
          <w:sz w:val="30"/>
          <w:szCs w:val="30"/>
          <w:u w:val="single"/>
          <w:shd w:val="clear" w:color="auto" w:fill="feffff"/>
          <w:rtl w:val="0"/>
          <w:lang w:val="en-US"/>
        </w:rPr>
        <w:t>Mini-ACE score</w:t>
      </w:r>
    </w:p>
    <w:p>
      <w:pPr>
        <w:pStyle w:val="Default"/>
        <w:bidi w:val="0"/>
        <w:spacing w:before="0" w:after="340" w:line="240" w:lineRule="auto"/>
        <w:ind w:left="0" w:right="0" w:firstLine="0"/>
        <w:jc w:val="left"/>
        <w:rPr>
          <w:rFonts w:ascii="Helvetica" w:cs="Helvetica" w:hAnsi="Helvetica" w:eastAsia="Helvetica"/>
          <w:b w:val="1"/>
          <w:bCs w:val="1"/>
          <w:sz w:val="30"/>
          <w:szCs w:val="30"/>
          <w:shd w:val="clear" w:color="auto" w:fill="feffff"/>
          <w:rtl w:val="0"/>
        </w:rPr>
      </w:pPr>
      <w:r>
        <w:rPr>
          <w:rFonts w:ascii="Helvetica" w:hAnsi="Helvetica"/>
          <w:b w:val="1"/>
          <w:bCs w:val="1"/>
          <w:sz w:val="30"/>
          <w:szCs w:val="30"/>
          <w:shd w:val="clear" w:color="auto" w:fill="feffff"/>
          <w:rtl w:val="0"/>
          <w:lang w:val="en-US"/>
        </w:rPr>
        <w:t>Normal</w:t>
        <w:tab/>
        <w:tab/>
        <w:tab/>
        <w:tab/>
        <w:tab/>
        <w:tab/>
      </w:r>
      <w:r>
        <w:rPr>
          <w:rFonts w:ascii="Helvetica" w:hAnsi="Helvetica" w:hint="default"/>
          <w:b w:val="1"/>
          <w:bCs w:val="1"/>
          <w:sz w:val="30"/>
          <w:szCs w:val="30"/>
          <w:shd w:val="clear" w:color="auto" w:fill="feffff"/>
          <w:rtl w:val="0"/>
          <w:lang w:val="en-US"/>
        </w:rPr>
        <w:t xml:space="preserve">≥ </w:t>
      </w:r>
      <w:r>
        <w:rPr>
          <w:rFonts w:ascii="Helvetica" w:hAnsi="Helvetica"/>
          <w:b w:val="1"/>
          <w:bCs w:val="1"/>
          <w:sz w:val="30"/>
          <w:szCs w:val="30"/>
          <w:shd w:val="clear" w:color="auto" w:fill="feffff"/>
          <w:rtl w:val="0"/>
          <w:lang w:val="en-US"/>
        </w:rPr>
        <w:t>26</w:t>
      </w:r>
    </w:p>
    <w:p>
      <w:pPr>
        <w:pStyle w:val="Default"/>
        <w:bidi w:val="0"/>
        <w:spacing w:before="0" w:after="340" w:line="240" w:lineRule="auto"/>
        <w:ind w:left="0" w:right="0" w:firstLine="0"/>
        <w:jc w:val="left"/>
        <w:rPr>
          <w:rFonts w:ascii="Helvetica" w:cs="Helvetica" w:hAnsi="Helvetica" w:eastAsia="Helvetica"/>
          <w:b w:val="1"/>
          <w:bCs w:val="1"/>
          <w:sz w:val="30"/>
          <w:szCs w:val="30"/>
          <w:shd w:val="clear" w:color="auto" w:fill="feffff"/>
          <w:rtl w:val="0"/>
        </w:rPr>
      </w:pPr>
      <w:r>
        <w:rPr>
          <w:rFonts w:ascii="Helvetica" w:hAnsi="Helvetica"/>
          <w:b w:val="1"/>
          <w:bCs w:val="1"/>
          <w:sz w:val="30"/>
          <w:szCs w:val="30"/>
          <w:shd w:val="clear" w:color="auto" w:fill="feffff"/>
          <w:rtl w:val="0"/>
          <w:lang w:val="en-US"/>
        </w:rPr>
        <w:t>Mild Cognitive Impairment (MCI)*</w:t>
        <w:tab/>
        <w:t>22 to 25</w:t>
      </w:r>
    </w:p>
    <w:p>
      <w:pPr>
        <w:pStyle w:val="Default"/>
        <w:bidi w:val="0"/>
        <w:spacing w:before="0" w:after="340" w:line="240" w:lineRule="auto"/>
        <w:ind w:left="0" w:right="0" w:firstLine="0"/>
        <w:jc w:val="left"/>
        <w:rPr>
          <w:rFonts w:ascii="Helvetica" w:cs="Helvetica" w:hAnsi="Helvetica" w:eastAsia="Helvetica"/>
          <w:b w:val="1"/>
          <w:bCs w:val="1"/>
          <w:sz w:val="30"/>
          <w:szCs w:val="30"/>
          <w:shd w:val="clear" w:color="auto" w:fill="feffff"/>
          <w:rtl w:val="0"/>
        </w:rPr>
      </w:pPr>
      <w:r>
        <w:rPr>
          <w:rFonts w:ascii="Helvetica" w:hAnsi="Helvetica"/>
          <w:b w:val="1"/>
          <w:bCs w:val="1"/>
          <w:sz w:val="30"/>
          <w:szCs w:val="30"/>
          <w:shd w:val="clear" w:color="auto" w:fill="feffff"/>
          <w:rtl w:val="0"/>
          <w:lang w:val="en-US"/>
        </w:rPr>
        <w:t xml:space="preserve">Dementia </w:t>
        <w:tab/>
        <w:tab/>
        <w:tab/>
        <w:tab/>
        <w:tab/>
        <w:tab/>
      </w:r>
      <w:r>
        <w:rPr>
          <w:rFonts w:ascii="Helvetica" w:hAnsi="Helvetica" w:hint="default"/>
          <w:b w:val="1"/>
          <w:bCs w:val="1"/>
          <w:sz w:val="30"/>
          <w:szCs w:val="30"/>
          <w:shd w:val="clear" w:color="auto" w:fill="feffff"/>
          <w:rtl w:val="0"/>
          <w:lang w:val="en-US"/>
        </w:rPr>
        <w:t xml:space="preserve">≤ </w:t>
      </w:r>
      <w:r>
        <w:rPr>
          <w:rFonts w:ascii="Helvetica" w:hAnsi="Helvetica"/>
          <w:b w:val="1"/>
          <w:bCs w:val="1"/>
          <w:sz w:val="30"/>
          <w:szCs w:val="30"/>
          <w:shd w:val="clear" w:color="auto" w:fill="feffff"/>
          <w:rtl w:val="0"/>
          <w:lang w:val="en-US"/>
        </w:rPr>
        <w:t>21</w:t>
      </w:r>
    </w:p>
    <w:p>
      <w:pPr>
        <w:pStyle w:val="Default"/>
        <w:bidi w:val="0"/>
        <w:spacing w:before="0" w:after="340" w:line="240" w:lineRule="auto"/>
        <w:ind w:left="0" w:right="0" w:firstLine="0"/>
        <w:jc w:val="left"/>
        <w:rPr>
          <w:rFonts w:ascii="Helvetica" w:cs="Helvetica" w:hAnsi="Helvetica" w:eastAsia="Helvetica"/>
          <w:outline w:val="0"/>
          <w:color w:val="202020"/>
          <w:sz w:val="30"/>
          <w:szCs w:val="30"/>
          <w:shd w:val="clear" w:color="auto" w:fill="feffff"/>
          <w:rtl w:val="0"/>
          <w14:textFill>
            <w14:solidFill>
              <w14:srgbClr w14:val="212121"/>
            </w14:solidFill>
          </w14:textFill>
        </w:rPr>
      </w:pPr>
      <w:r>
        <w:rPr>
          <w:rFonts w:ascii="Helvetica" w:hAnsi="Helvetica"/>
          <w:outline w:val="0"/>
          <w:color w:val="202020"/>
          <w:sz w:val="30"/>
          <w:szCs w:val="30"/>
          <w:shd w:val="clear" w:color="auto" w:fill="feffff"/>
          <w:rtl w:val="0"/>
          <w:lang w:val="en-US"/>
          <w14:textFill>
            <w14:solidFill>
              <w14:srgbClr w14:val="212121"/>
            </w14:solidFill>
          </w14:textFill>
        </w:rPr>
        <w:t>These scores are for guidance only and care should be taken with interpretation. Where doubt exists, either follow the patient closely or refer to/discuss with specialist services.</w:t>
      </w:r>
    </w:p>
    <w:p>
      <w:pPr>
        <w:pStyle w:val="Default"/>
        <w:bidi w:val="0"/>
        <w:spacing w:before="0" w:after="340" w:line="240" w:lineRule="auto"/>
        <w:ind w:left="0" w:right="0" w:firstLine="0"/>
        <w:jc w:val="left"/>
        <w:rPr>
          <w:rFonts w:ascii="Helvetica" w:cs="Helvetica" w:hAnsi="Helvetica" w:eastAsia="Helvetica"/>
          <w:outline w:val="0"/>
          <w:color w:val="202020"/>
          <w:sz w:val="30"/>
          <w:szCs w:val="30"/>
          <w:shd w:val="clear" w:color="auto" w:fill="feffff"/>
          <w:rtl w:val="0"/>
          <w14:textFill>
            <w14:solidFill>
              <w14:srgbClr w14:val="212121"/>
            </w14:solidFill>
          </w14:textFill>
        </w:rPr>
      </w:pPr>
      <w:r>
        <w:rPr>
          <w:rFonts w:ascii="Helvetica" w:hAnsi="Helvetica"/>
          <w:outline w:val="0"/>
          <w:color w:val="202020"/>
          <w:sz w:val="30"/>
          <w:szCs w:val="30"/>
          <w:shd w:val="clear" w:color="auto" w:fill="feffff"/>
          <w:rtl w:val="0"/>
          <w:lang w:val="en-US"/>
          <w14:textFill>
            <w14:solidFill>
              <w14:srgbClr w14:val="212121"/>
            </w14:solidFill>
          </w14:textFill>
        </w:rPr>
        <w:t>* In MCI, there is some memory or other cognitive impairment. However, it is mild and does not significantly impair social or occupational functioning i.e., activities of daily living are preserved and complex functions are intact or only minimally impaired.</w:t>
      </w:r>
    </w:p>
    <w:p>
      <w:pPr>
        <w:pStyle w:val="Default"/>
        <w:bidi w:val="0"/>
        <w:spacing w:before="0" w:after="340" w:line="240" w:lineRule="auto"/>
        <w:ind w:left="0" w:right="0" w:firstLine="0"/>
        <w:jc w:val="left"/>
        <w:rPr>
          <w:rFonts w:ascii="Helvetica" w:cs="Helvetica" w:hAnsi="Helvetica" w:eastAsia="Helvetica"/>
          <w:outline w:val="0"/>
          <w:color w:val="202020"/>
          <w:sz w:val="30"/>
          <w:szCs w:val="30"/>
          <w:shd w:val="clear" w:color="auto" w:fill="feffff"/>
          <w:rtl w:val="0"/>
          <w14:textFill>
            <w14:solidFill>
              <w14:srgbClr w14:val="212121"/>
            </w14:solidFill>
          </w14:textFill>
        </w:rPr>
      </w:pPr>
      <w:r>
        <w:rPr>
          <w:rFonts w:ascii="Helvetica" w:hAnsi="Helvetica"/>
          <w:outline w:val="0"/>
          <w:color w:val="202020"/>
          <w:sz w:val="30"/>
          <w:szCs w:val="30"/>
          <w:shd w:val="clear" w:color="auto" w:fill="feffff"/>
          <w:rtl w:val="0"/>
          <w:lang w:val="en-US"/>
          <w14:textFill>
            <w14:solidFill>
              <w14:srgbClr w14:val="212121"/>
            </w14:solidFill>
          </w14:textFill>
        </w:rPr>
        <w:t>This is in contrast to dementia where the degree of memory and cognitive functioning creates significant social, occupational, or functional impairment.</w:t>
      </w:r>
    </w:p>
    <w:p>
      <w:pPr>
        <w:pStyle w:val="Default"/>
        <w:bidi w:val="0"/>
        <w:spacing w:before="0" w:after="340" w:line="240" w:lineRule="auto"/>
        <w:ind w:left="0" w:right="0" w:firstLine="0"/>
        <w:jc w:val="left"/>
        <w:rPr>
          <w:rtl w:val="0"/>
        </w:rPr>
      </w:pPr>
      <w:r>
        <w:rPr>
          <w:rFonts w:ascii="Helvetica" w:hAnsi="Helvetica"/>
          <w:outline w:val="0"/>
          <w:color w:val="0061fe"/>
          <w:sz w:val="30"/>
          <w:szCs w:val="30"/>
          <w:shd w:val="clear" w:color="auto" w:fill="feffff"/>
          <w:rtl w:val="0"/>
          <w:lang w:val="en-US"/>
          <w14:textFill>
            <w14:solidFill>
              <w14:srgbClr w14:val="0061FE"/>
            </w14:solidFill>
          </w14:textFill>
        </w:rPr>
        <w:t xml:space="preserve">Reference: </w:t>
        <w:tab/>
      </w:r>
      <w:r>
        <w:rPr>
          <w:rFonts w:ascii="Helvetica" w:hAnsi="Helvetica"/>
          <w:outline w:val="0"/>
          <w:color w:val="0061fe"/>
          <w:sz w:val="30"/>
          <w:szCs w:val="30"/>
          <w:shd w:val="clear" w:color="auto" w:fill="feffff"/>
          <w:rtl w:val="0"/>
          <w:lang w:val="en-US"/>
          <w14:textFill>
            <w14:solidFill>
              <w14:srgbClr w14:val="0061FE"/>
            </w14:solidFill>
          </w14:textFill>
        </w:rPr>
        <w:t>aucklandregion.communityhealthpathways.org</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